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01D" w:rsidRPr="00F70315" w:rsidRDefault="0088401D" w:rsidP="0088401D">
      <w:pPr>
        <w:spacing w:line="480" w:lineRule="auto"/>
        <w:jc w:val="center"/>
        <w:rPr>
          <w:rFonts w:ascii="Times New Roman" w:hAnsi="Times New Roman" w:cs="Times New Roman"/>
          <w:b/>
          <w:sz w:val="24"/>
          <w:szCs w:val="24"/>
        </w:rPr>
      </w:pPr>
      <w:r w:rsidRPr="00F70315">
        <w:rPr>
          <w:rFonts w:ascii="Times New Roman" w:hAnsi="Times New Roman" w:cs="Times New Roman"/>
          <w:b/>
          <w:sz w:val="24"/>
          <w:szCs w:val="24"/>
        </w:rPr>
        <w:t>BAB V</w:t>
      </w:r>
    </w:p>
    <w:p w:rsidR="0088401D" w:rsidRDefault="0088401D" w:rsidP="0088401D">
      <w:pPr>
        <w:spacing w:line="480" w:lineRule="auto"/>
        <w:jc w:val="center"/>
        <w:rPr>
          <w:rFonts w:ascii="Times New Roman" w:hAnsi="Times New Roman" w:cs="Times New Roman"/>
          <w:b/>
          <w:sz w:val="24"/>
          <w:szCs w:val="24"/>
        </w:rPr>
      </w:pPr>
      <w:r w:rsidRPr="00F70315">
        <w:rPr>
          <w:rFonts w:ascii="Times New Roman" w:hAnsi="Times New Roman" w:cs="Times New Roman"/>
          <w:b/>
          <w:sz w:val="24"/>
          <w:szCs w:val="24"/>
        </w:rPr>
        <w:t>KESIMPULAN DAN SARAN</w:t>
      </w:r>
    </w:p>
    <w:p w:rsidR="0088401D" w:rsidRDefault="0088401D" w:rsidP="0088401D">
      <w:pPr>
        <w:spacing w:line="480" w:lineRule="auto"/>
        <w:rPr>
          <w:rFonts w:ascii="Times New Roman" w:hAnsi="Times New Roman" w:cs="Times New Roman"/>
          <w:b/>
          <w:sz w:val="24"/>
          <w:szCs w:val="24"/>
        </w:rPr>
      </w:pPr>
    </w:p>
    <w:p w:rsidR="0088401D" w:rsidRDefault="0088401D" w:rsidP="0088401D">
      <w:pPr>
        <w:spacing w:line="480" w:lineRule="auto"/>
        <w:rPr>
          <w:rFonts w:ascii="Times New Roman" w:hAnsi="Times New Roman" w:cs="Times New Roman"/>
          <w:b/>
          <w:sz w:val="24"/>
          <w:szCs w:val="24"/>
        </w:rPr>
      </w:pPr>
      <w:r>
        <w:rPr>
          <w:rFonts w:ascii="Times New Roman" w:hAnsi="Times New Roman" w:cs="Times New Roman"/>
          <w:b/>
          <w:sz w:val="24"/>
          <w:szCs w:val="24"/>
        </w:rPr>
        <w:t>5.1 Kesimpulan</w:t>
      </w:r>
    </w:p>
    <w:p w:rsidR="0088401D" w:rsidRDefault="0088401D" w:rsidP="0088401D">
      <w:pPr>
        <w:spacing w:line="48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Berdasarkan hasil penelitian dan pembahasan pada BAB IV, penulis dapat merumuskan kesimpulan sebagai berikut:</w:t>
      </w:r>
    </w:p>
    <w:p w:rsidR="0088401D" w:rsidRDefault="0088401D" w:rsidP="0088401D">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Perkembangan Dana Pihak Ketiga (DPK) pada PT. Bank Negara Indonesia (persero), Tbk periode 2008-2013 mempunyai kecenderungan meningkat setiap tahunnya. DPK yang tertinggi pada tahun 2013 sebesar Rp. 291,9 Triliun dengan kenaikan sebesar 13,3% dari tahun sebelumnya. DPK terendah pada tahun 2008 sebesar Rp. 163,2 Triliun dan jumlah rata-rata DPK pertahun adalah Rp. 221,17 Triliun.</w:t>
      </w:r>
    </w:p>
    <w:p w:rsidR="0088401D" w:rsidRDefault="0088401D" w:rsidP="0088401D">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 xml:space="preserve">Perkembangan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pada PT. Bank Negara Indonesia (persero), Tbk periode 2008-2013 mengalami fluktuatif . CAR yang tertinggi pada tahun 2010 sebesar 18.6% dengan kenaikan 4,9% dari tahun sebelumnya. CAR terendah pada tahun 2008 sebesar 13,5% dan jumlah rata-rata CAR pertahunnya adalah 15,89%.</w:t>
      </w:r>
    </w:p>
    <w:p w:rsidR="0088401D" w:rsidRDefault="0088401D" w:rsidP="0088401D">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 xml:space="preserve">Perkembangan </w:t>
      </w:r>
      <w:r>
        <w:rPr>
          <w:rFonts w:ascii="Times New Roman" w:hAnsi="Times New Roman" w:cs="Times New Roman"/>
          <w:i/>
          <w:sz w:val="24"/>
          <w:szCs w:val="24"/>
        </w:rPr>
        <w:t>Return On Assets</w:t>
      </w:r>
      <w:r>
        <w:rPr>
          <w:rFonts w:ascii="Times New Roman" w:hAnsi="Times New Roman" w:cs="Times New Roman"/>
          <w:sz w:val="24"/>
          <w:szCs w:val="24"/>
        </w:rPr>
        <w:t xml:space="preserve"> (ROA) pada PT. Bank Negara Indonesia (persero), Tbk periode 2008-2013 mengalami berfluktuatif . </w:t>
      </w:r>
      <w:r w:rsidRPr="00235566">
        <w:rPr>
          <w:rFonts w:ascii="Times New Roman" w:hAnsi="Times New Roman" w:cs="Times New Roman"/>
          <w:i/>
          <w:sz w:val="24"/>
          <w:szCs w:val="24"/>
        </w:rPr>
        <w:t>Return On Assets</w:t>
      </w:r>
      <w:r>
        <w:rPr>
          <w:rFonts w:ascii="Times New Roman" w:hAnsi="Times New Roman" w:cs="Times New Roman"/>
          <w:sz w:val="24"/>
          <w:szCs w:val="24"/>
        </w:rPr>
        <w:t xml:space="preserve"> tertinggi di tahun 2013 sebesar 3,4% dengan kenaikan 0,5% dari tahun sebelumnya yang sebesar 2,9%. Terendah pada tahun 2008 sebesar 1,1% dan jumlah rata-rata ROA pertahunnya 2,41%.</w:t>
      </w:r>
    </w:p>
    <w:p w:rsidR="0088401D" w:rsidRPr="000A7ADC" w:rsidRDefault="0088401D" w:rsidP="0088401D">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Pengaruh Dana Pihak Ketiga (DPK) dan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terhadap </w:t>
      </w:r>
      <w:r>
        <w:rPr>
          <w:rFonts w:ascii="Times New Roman" w:hAnsi="Times New Roman" w:cs="Times New Roman"/>
          <w:i/>
          <w:sz w:val="24"/>
          <w:szCs w:val="24"/>
        </w:rPr>
        <w:t>Return On Assets</w:t>
      </w:r>
      <w:r>
        <w:rPr>
          <w:rFonts w:ascii="Times New Roman" w:hAnsi="Times New Roman" w:cs="Times New Roman"/>
          <w:sz w:val="24"/>
          <w:szCs w:val="24"/>
        </w:rPr>
        <w:t xml:space="preserve"> (ROA) berdasarkan hasil perhitungan SPPS 20 diperoleh nilai positif dengan koefisien kolerasi 0,992, menunjukkan hubungan </w:t>
      </w:r>
      <w:r w:rsidRPr="00EF0375">
        <w:rPr>
          <w:rFonts w:ascii="Times New Roman" w:hAnsi="Times New Roman" w:cs="Times New Roman"/>
          <w:b/>
          <w:sz w:val="24"/>
          <w:szCs w:val="24"/>
        </w:rPr>
        <w:t>sangat kuat</w:t>
      </w:r>
      <w:r>
        <w:rPr>
          <w:rFonts w:ascii="Times New Roman" w:hAnsi="Times New Roman" w:cs="Times New Roman"/>
          <w:sz w:val="24"/>
          <w:szCs w:val="24"/>
        </w:rPr>
        <w:t>. Nilai koefisien determinasi sebesar 0,983 atau 98,3% sedangkan sisanya sebesar 1,7% dipengaruhi oleh faktor lain yang tidak diteliti. Berdasarkan uji t secara parsial telah diperoleh hasil t</w:t>
      </w:r>
      <w:r>
        <w:rPr>
          <w:rFonts w:ascii="Times New Roman" w:hAnsi="Times New Roman" w:cs="Times New Roman"/>
          <w:sz w:val="24"/>
          <w:szCs w:val="24"/>
          <w:vertAlign w:val="subscript"/>
        </w:rPr>
        <w:t>hitung</w:t>
      </w:r>
      <w:r>
        <w:rPr>
          <w:rFonts w:ascii="Times New Roman" w:hAnsi="Times New Roman" w:cs="Times New Roman"/>
          <w:sz w:val="24"/>
          <w:szCs w:val="24"/>
        </w:rPr>
        <w:t xml:space="preserve"> 10,671 &gt; t</w:t>
      </w:r>
      <w:r>
        <w:rPr>
          <w:rFonts w:ascii="Times New Roman" w:hAnsi="Times New Roman" w:cs="Times New Roman"/>
          <w:sz w:val="24"/>
          <w:szCs w:val="24"/>
          <w:vertAlign w:val="subscript"/>
        </w:rPr>
        <w:t>tabel</w:t>
      </w:r>
      <w:r>
        <w:rPr>
          <w:rFonts w:ascii="Times New Roman" w:hAnsi="Times New Roman" w:cs="Times New Roman"/>
          <w:sz w:val="24"/>
          <w:szCs w:val="24"/>
        </w:rPr>
        <w:t xml:space="preserve"> 2,132, maka Ho ditolak dan menunjukkan bahwa Dana Pihak Ketiga (DPK) berpengaruh signifikan terhadap </w:t>
      </w:r>
      <w:r>
        <w:rPr>
          <w:rFonts w:ascii="Times New Roman" w:hAnsi="Times New Roman" w:cs="Times New Roman"/>
          <w:i/>
          <w:sz w:val="24"/>
          <w:szCs w:val="24"/>
        </w:rPr>
        <w:t>Return On Assets</w:t>
      </w:r>
      <w:r>
        <w:rPr>
          <w:rFonts w:ascii="Times New Roman" w:hAnsi="Times New Roman" w:cs="Times New Roman"/>
          <w:sz w:val="24"/>
          <w:szCs w:val="24"/>
        </w:rPr>
        <w:t xml:space="preserve"> (ROA). Sedangkan uji t secara parsial terhadap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diperoleh hasil t</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4,337 &gt; t</w:t>
      </w:r>
      <w:r>
        <w:rPr>
          <w:rFonts w:ascii="Times New Roman" w:hAnsi="Times New Roman" w:cs="Times New Roman"/>
          <w:sz w:val="24"/>
          <w:szCs w:val="24"/>
          <w:vertAlign w:val="subscript"/>
        </w:rPr>
        <w:t>tabel</w:t>
      </w:r>
      <w:r>
        <w:rPr>
          <w:rFonts w:ascii="Times New Roman" w:hAnsi="Times New Roman" w:cs="Times New Roman"/>
          <w:sz w:val="24"/>
          <w:szCs w:val="24"/>
        </w:rPr>
        <w:t xml:space="preserve"> 2,132, maka Ho ditolak dan menunjukkan bahwa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berpengaruh signifikan terhadap </w:t>
      </w:r>
      <w:r>
        <w:rPr>
          <w:rFonts w:ascii="Times New Roman" w:hAnsi="Times New Roman" w:cs="Times New Roman"/>
          <w:i/>
          <w:sz w:val="24"/>
          <w:szCs w:val="24"/>
        </w:rPr>
        <w:t>Return On Assets</w:t>
      </w:r>
      <w:r>
        <w:rPr>
          <w:rFonts w:ascii="Times New Roman" w:hAnsi="Times New Roman" w:cs="Times New Roman"/>
          <w:sz w:val="24"/>
          <w:szCs w:val="24"/>
        </w:rPr>
        <w:t xml:space="preserve"> (ROA). Berdasarkan uji F secara simultan telah diperoleh hasil F</w:t>
      </w:r>
      <w:r>
        <w:rPr>
          <w:rFonts w:ascii="Times New Roman" w:hAnsi="Times New Roman" w:cs="Times New Roman"/>
          <w:sz w:val="24"/>
          <w:szCs w:val="24"/>
          <w:vertAlign w:val="subscript"/>
        </w:rPr>
        <w:t>hitung</w:t>
      </w:r>
      <w:r>
        <w:rPr>
          <w:rFonts w:ascii="Times New Roman" w:hAnsi="Times New Roman" w:cs="Times New Roman"/>
          <w:sz w:val="24"/>
          <w:szCs w:val="24"/>
        </w:rPr>
        <w:t xml:space="preserve"> 88,918 &gt; F</w:t>
      </w:r>
      <w:r>
        <w:rPr>
          <w:rFonts w:ascii="Times New Roman" w:hAnsi="Times New Roman" w:cs="Times New Roman"/>
          <w:sz w:val="24"/>
          <w:szCs w:val="24"/>
          <w:vertAlign w:val="subscript"/>
        </w:rPr>
        <w:t>tabel</w:t>
      </w:r>
      <w:r>
        <w:rPr>
          <w:rFonts w:ascii="Times New Roman" w:hAnsi="Times New Roman" w:cs="Times New Roman"/>
          <w:sz w:val="24"/>
          <w:szCs w:val="24"/>
        </w:rPr>
        <w:t xml:space="preserve"> 9,55, maka Ho ditolak dan menunjukkan bahwa Dana Pihak Ketiga (DPK) dan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secara simultan berpengaruh signifikan terhadap </w:t>
      </w:r>
      <w:r>
        <w:rPr>
          <w:rFonts w:ascii="Times New Roman" w:hAnsi="Times New Roman" w:cs="Times New Roman"/>
          <w:i/>
          <w:sz w:val="24"/>
          <w:szCs w:val="24"/>
        </w:rPr>
        <w:t>Return On Assets</w:t>
      </w:r>
      <w:r>
        <w:rPr>
          <w:rFonts w:ascii="Times New Roman" w:hAnsi="Times New Roman" w:cs="Times New Roman"/>
          <w:sz w:val="24"/>
          <w:szCs w:val="24"/>
        </w:rPr>
        <w:t xml:space="preserve"> (ROA).</w:t>
      </w:r>
    </w:p>
    <w:p w:rsidR="0088401D" w:rsidRDefault="0088401D" w:rsidP="0088401D">
      <w:pPr>
        <w:spacing w:line="480" w:lineRule="auto"/>
        <w:rPr>
          <w:rFonts w:ascii="Times New Roman" w:hAnsi="Times New Roman" w:cs="Times New Roman"/>
          <w:b/>
          <w:sz w:val="24"/>
          <w:szCs w:val="24"/>
        </w:rPr>
      </w:pPr>
      <w:r>
        <w:rPr>
          <w:rFonts w:ascii="Times New Roman" w:hAnsi="Times New Roman" w:cs="Times New Roman"/>
          <w:b/>
          <w:sz w:val="24"/>
          <w:szCs w:val="24"/>
        </w:rPr>
        <w:t>5.2 Saran</w:t>
      </w:r>
    </w:p>
    <w:p w:rsidR="0088401D" w:rsidRDefault="0088401D" w:rsidP="0088401D">
      <w:pPr>
        <w:spacing w:line="48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Berdasarkan kesimpulan, maka penulis mengemukakkan beberapa saran sebagai berikut:</w:t>
      </w:r>
    </w:p>
    <w:p w:rsidR="0088401D" w:rsidRPr="00731E91" w:rsidRDefault="0088401D" w:rsidP="0088401D">
      <w:pPr>
        <w:pStyle w:val="ListParagraph"/>
        <w:numPr>
          <w:ilvl w:val="0"/>
          <w:numId w:val="2"/>
        </w:numPr>
        <w:spacing w:line="480" w:lineRule="auto"/>
        <w:rPr>
          <w:rFonts w:ascii="Times New Roman" w:hAnsi="Times New Roman" w:cs="Times New Roman"/>
          <w:b/>
          <w:sz w:val="24"/>
          <w:szCs w:val="24"/>
        </w:rPr>
      </w:pPr>
      <w:r>
        <w:rPr>
          <w:rFonts w:ascii="Times New Roman" w:hAnsi="Times New Roman" w:cs="Times New Roman"/>
          <w:sz w:val="24"/>
          <w:szCs w:val="24"/>
        </w:rPr>
        <w:t xml:space="preserve">PT. Bank Negara Indonesia (persero),Tbk agar terus meningkatkan kualitas pengelolaan penghimpunan dana dari masyarakat agar penghimpunan dana terus menerus meningkat dimana salah satu caranya yaitu dengan meningkatkan </w:t>
      </w:r>
      <w:r>
        <w:rPr>
          <w:rFonts w:ascii="Times New Roman" w:hAnsi="Times New Roman" w:cs="Times New Roman"/>
          <w:sz w:val="24"/>
          <w:szCs w:val="24"/>
        </w:rPr>
        <w:lastRenderedPageBreak/>
        <w:t>promosi atas produk-produk yang dimiliki, sehingga meningkatkan kualitas pelayanan terhadap nasabah dan menjaga kepercayaan nasabah terhadap bank.</w:t>
      </w:r>
    </w:p>
    <w:p w:rsidR="0088401D" w:rsidRPr="005E3282" w:rsidRDefault="0088401D" w:rsidP="0088401D">
      <w:pPr>
        <w:pStyle w:val="ListParagraph"/>
        <w:numPr>
          <w:ilvl w:val="0"/>
          <w:numId w:val="2"/>
        </w:numPr>
        <w:spacing w:line="480" w:lineRule="auto"/>
        <w:rPr>
          <w:rFonts w:ascii="Times New Roman" w:hAnsi="Times New Roman" w:cs="Times New Roman"/>
          <w:b/>
          <w:sz w:val="24"/>
          <w:szCs w:val="24"/>
        </w:rPr>
      </w:pPr>
      <w:r>
        <w:rPr>
          <w:rFonts w:ascii="Times New Roman" w:hAnsi="Times New Roman" w:cs="Times New Roman"/>
          <w:sz w:val="24"/>
          <w:szCs w:val="24"/>
        </w:rPr>
        <w:t xml:space="preserve">PT. Bank Negara Indonesia (persero),Tbk seharusnya pertahankan jangan sampai turun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setiap tahunnya walaupun masih aman dari ketentuan BI yang sebesar 8% tetapi alangkah baiknya PT. Bank Negara Indonesia (persero),Tbk bisa menjaga kestabilan CAR tersebut untuk menahan dampak kerugian bagi Bank.</w:t>
      </w:r>
    </w:p>
    <w:p w:rsidR="0088401D" w:rsidRPr="003E3CB2" w:rsidRDefault="0088401D" w:rsidP="0088401D">
      <w:pPr>
        <w:pStyle w:val="ListParagraph"/>
        <w:numPr>
          <w:ilvl w:val="0"/>
          <w:numId w:val="2"/>
        </w:numPr>
        <w:spacing w:line="480" w:lineRule="auto"/>
        <w:rPr>
          <w:rFonts w:ascii="Times New Roman" w:hAnsi="Times New Roman" w:cs="Times New Roman"/>
          <w:b/>
          <w:sz w:val="24"/>
          <w:szCs w:val="24"/>
        </w:rPr>
      </w:pPr>
      <w:r>
        <w:rPr>
          <w:rFonts w:ascii="Times New Roman" w:hAnsi="Times New Roman" w:cs="Times New Roman"/>
          <w:sz w:val="24"/>
          <w:szCs w:val="24"/>
        </w:rPr>
        <w:t xml:space="preserve">PT. Bank Negara Indonesia (persero),Tbk untuk </w:t>
      </w:r>
      <w:r>
        <w:rPr>
          <w:rFonts w:ascii="Times New Roman" w:hAnsi="Times New Roman" w:cs="Times New Roman"/>
          <w:i/>
          <w:sz w:val="24"/>
          <w:szCs w:val="24"/>
        </w:rPr>
        <w:t>Return On Assets</w:t>
      </w:r>
      <w:r>
        <w:rPr>
          <w:rFonts w:ascii="Times New Roman" w:hAnsi="Times New Roman" w:cs="Times New Roman"/>
          <w:sz w:val="24"/>
          <w:szCs w:val="24"/>
        </w:rPr>
        <w:t xml:space="preserve"> ditingkatkan kembali dan sudah cukup melebihi ketentuan dari BI yang sebesar 1,25%.</w:t>
      </w:r>
    </w:p>
    <w:p w:rsidR="00107051" w:rsidRPr="0088401D" w:rsidRDefault="0088401D" w:rsidP="0088401D">
      <w:pPr>
        <w:pStyle w:val="ListParagraph"/>
        <w:numPr>
          <w:ilvl w:val="0"/>
          <w:numId w:val="2"/>
        </w:numPr>
        <w:spacing w:line="480" w:lineRule="auto"/>
        <w:rPr>
          <w:rFonts w:ascii="Times New Roman" w:hAnsi="Times New Roman" w:cs="Times New Roman"/>
          <w:b/>
          <w:sz w:val="24"/>
          <w:szCs w:val="24"/>
        </w:rPr>
      </w:pPr>
      <w:r>
        <w:rPr>
          <w:rFonts w:ascii="Times New Roman" w:hAnsi="Times New Roman" w:cs="Times New Roman"/>
          <w:sz w:val="24"/>
          <w:szCs w:val="24"/>
        </w:rPr>
        <w:t xml:space="preserve">Ada pengaruh lain yang tidak diteliti oleh penulis, oleh karena itu bagi peneliti selanjutnya diharapkan dapat mengembangkan penelitian guna menghasilkan penelitian yang lebih lengkap dan variatif terutama yang berhubungan dengan Dana Pihak Ketiga,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dan </w:t>
      </w:r>
      <w:r>
        <w:rPr>
          <w:rFonts w:ascii="Times New Roman" w:hAnsi="Times New Roman" w:cs="Times New Roman"/>
          <w:i/>
          <w:sz w:val="24"/>
          <w:szCs w:val="24"/>
        </w:rPr>
        <w:t>Return On Assets</w:t>
      </w:r>
      <w:r>
        <w:rPr>
          <w:rFonts w:ascii="Times New Roman" w:hAnsi="Times New Roman" w:cs="Times New Roman"/>
          <w:sz w:val="24"/>
          <w:szCs w:val="24"/>
        </w:rPr>
        <w:t xml:space="preserve"> (ROA).</w:t>
      </w:r>
      <w:bookmarkStart w:id="0" w:name="_GoBack"/>
      <w:bookmarkEnd w:id="0"/>
    </w:p>
    <w:sectPr w:rsidR="00107051" w:rsidRPr="0088401D" w:rsidSect="00CF5FE2">
      <w:headerReference w:type="even" r:id="rId6"/>
      <w:headerReference w:type="default" r:id="rId7"/>
      <w:footerReference w:type="even" r:id="rId8"/>
      <w:footerReference w:type="default" r:id="rId9"/>
      <w:headerReference w:type="first" r:id="rId10"/>
      <w:footerReference w:type="first" r:id="rId11"/>
      <w:pgSz w:w="11906" w:h="16838"/>
      <w:pgMar w:top="2268"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FEF" w:rsidRDefault="005976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2118"/>
      <w:docPartObj>
        <w:docPartGallery w:val="Page Numbers (Bottom of Page)"/>
        <w:docPartUnique/>
      </w:docPartObj>
    </w:sdtPr>
    <w:sdtEndPr>
      <w:rPr>
        <w:rFonts w:ascii="Times New Roman" w:hAnsi="Times New Roman" w:cs="Times New Roman"/>
        <w:sz w:val="24"/>
        <w:szCs w:val="24"/>
      </w:rPr>
    </w:sdtEndPr>
    <w:sdtContent>
      <w:p w:rsidR="00E239C8" w:rsidRPr="00E239C8" w:rsidRDefault="00597630">
        <w:pPr>
          <w:pStyle w:val="Footer"/>
          <w:jc w:val="right"/>
          <w:rPr>
            <w:rFonts w:ascii="Times New Roman" w:hAnsi="Times New Roman" w:cs="Times New Roman"/>
            <w:sz w:val="24"/>
            <w:szCs w:val="24"/>
          </w:rPr>
        </w:pPr>
        <w:r w:rsidRPr="00E239C8">
          <w:rPr>
            <w:rFonts w:ascii="Times New Roman" w:hAnsi="Times New Roman" w:cs="Times New Roman"/>
            <w:sz w:val="24"/>
            <w:szCs w:val="24"/>
          </w:rPr>
          <w:fldChar w:fldCharType="begin"/>
        </w:r>
        <w:r w:rsidRPr="00E239C8">
          <w:rPr>
            <w:rFonts w:ascii="Times New Roman" w:hAnsi="Times New Roman" w:cs="Times New Roman"/>
            <w:sz w:val="24"/>
            <w:szCs w:val="24"/>
          </w:rPr>
          <w:instrText xml:space="preserve"> PAGE   \* M</w:instrText>
        </w:r>
        <w:r w:rsidRPr="00E239C8">
          <w:rPr>
            <w:rFonts w:ascii="Times New Roman" w:hAnsi="Times New Roman" w:cs="Times New Roman"/>
            <w:sz w:val="24"/>
            <w:szCs w:val="24"/>
          </w:rPr>
          <w:instrText xml:space="preserve">ERGEFORMAT </w:instrText>
        </w:r>
        <w:r w:rsidRPr="00E239C8">
          <w:rPr>
            <w:rFonts w:ascii="Times New Roman" w:hAnsi="Times New Roman" w:cs="Times New Roman"/>
            <w:sz w:val="24"/>
            <w:szCs w:val="24"/>
          </w:rPr>
          <w:fldChar w:fldCharType="separate"/>
        </w:r>
        <w:r>
          <w:rPr>
            <w:rFonts w:ascii="Times New Roman" w:hAnsi="Times New Roman" w:cs="Times New Roman"/>
            <w:noProof/>
            <w:sz w:val="24"/>
            <w:szCs w:val="24"/>
          </w:rPr>
          <w:t>3</w:t>
        </w:r>
        <w:r w:rsidRPr="00E239C8">
          <w:rPr>
            <w:rFonts w:ascii="Times New Roman" w:hAnsi="Times New Roman" w:cs="Times New Roman"/>
            <w:sz w:val="24"/>
            <w:szCs w:val="24"/>
          </w:rPr>
          <w:fldChar w:fldCharType="end"/>
        </w:r>
      </w:p>
    </w:sdtContent>
  </w:sdt>
  <w:p w:rsidR="00E239C8" w:rsidRDefault="0059763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FEF" w:rsidRDefault="00597630">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FEF" w:rsidRDefault="00597630">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64519" o:spid="_x0000_s2050" type="#_x0000_t75" style="position:absolute;margin-left:0;margin-top:0;width:425.05pt;height:425.05pt;z-index:-251656192;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FEF" w:rsidRDefault="00597630">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64520" o:spid="_x0000_s2051" type="#_x0000_t75" style="position:absolute;margin-left:0;margin-top:0;width:425.05pt;height:425.05pt;z-index:-251655168;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FEF" w:rsidRDefault="00597630">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64518" o:spid="_x0000_s2049" type="#_x0000_t75" style="position:absolute;margin-left:0;margin-top:0;width:425.05pt;height:425.05pt;z-index:-251657216;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1C06"/>
    <w:multiLevelType w:val="hybridMultilevel"/>
    <w:tmpl w:val="A8126DA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3ACA0762"/>
    <w:multiLevelType w:val="hybridMultilevel"/>
    <w:tmpl w:val="3146A1A4"/>
    <w:lvl w:ilvl="0" w:tplc="0421000F">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hdrShapeDefaults>
    <o:shapedefaults v:ext="edit" spidmax="2052"/>
    <o:shapelayout v:ext="edit">
      <o:idmap v:ext="edit" data="2"/>
    </o:shapelayout>
  </w:hdrShapeDefault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01D"/>
    <w:rsid w:val="00107051"/>
    <w:rsid w:val="00597630"/>
    <w:rsid w:val="008840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01D"/>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88401D"/>
    <w:pPr>
      <w:ind w:left="720"/>
      <w:contextualSpacing/>
    </w:pPr>
  </w:style>
  <w:style w:type="paragraph" w:styleId="Header">
    <w:name w:val="header"/>
    <w:basedOn w:val="Normal"/>
    <w:link w:val="HeaderChar"/>
    <w:uiPriority w:val="99"/>
    <w:unhideWhenUsed/>
    <w:rsid w:val="008840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401D"/>
    <w:rPr>
      <w:lang w:val="id-ID"/>
    </w:rPr>
  </w:style>
  <w:style w:type="paragraph" w:styleId="Footer">
    <w:name w:val="footer"/>
    <w:basedOn w:val="Normal"/>
    <w:link w:val="FooterChar"/>
    <w:uiPriority w:val="99"/>
    <w:unhideWhenUsed/>
    <w:rsid w:val="008840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401D"/>
    <w:rPr>
      <w:lang w:val="id-ID"/>
    </w:rPr>
  </w:style>
  <w:style w:type="character" w:customStyle="1" w:styleId="ListParagraphChar">
    <w:name w:val="List Paragraph Char"/>
    <w:aliases w:val="skripsi Char"/>
    <w:basedOn w:val="DefaultParagraphFont"/>
    <w:link w:val="ListParagraph"/>
    <w:uiPriority w:val="34"/>
    <w:rsid w:val="0088401D"/>
    <w:rPr>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01D"/>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88401D"/>
    <w:pPr>
      <w:ind w:left="720"/>
      <w:contextualSpacing/>
    </w:pPr>
  </w:style>
  <w:style w:type="paragraph" w:styleId="Header">
    <w:name w:val="header"/>
    <w:basedOn w:val="Normal"/>
    <w:link w:val="HeaderChar"/>
    <w:uiPriority w:val="99"/>
    <w:unhideWhenUsed/>
    <w:rsid w:val="008840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401D"/>
    <w:rPr>
      <w:lang w:val="id-ID"/>
    </w:rPr>
  </w:style>
  <w:style w:type="paragraph" w:styleId="Footer">
    <w:name w:val="footer"/>
    <w:basedOn w:val="Normal"/>
    <w:link w:val="FooterChar"/>
    <w:uiPriority w:val="99"/>
    <w:unhideWhenUsed/>
    <w:rsid w:val="008840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401D"/>
    <w:rPr>
      <w:lang w:val="id-ID"/>
    </w:rPr>
  </w:style>
  <w:style w:type="character" w:customStyle="1" w:styleId="ListParagraphChar">
    <w:name w:val="List Paragraph Char"/>
    <w:aliases w:val="skripsi Char"/>
    <w:basedOn w:val="DefaultParagraphFont"/>
    <w:link w:val="ListParagraph"/>
    <w:uiPriority w:val="34"/>
    <w:rsid w:val="0088401D"/>
    <w:rPr>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517</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Teguh</dc:creator>
  <cp:lastModifiedBy>Teguh</cp:lastModifiedBy>
  <cp:revision>2</cp:revision>
  <cp:lastPrinted>2017-07-12T04:32:00Z</cp:lastPrinted>
  <dcterms:created xsi:type="dcterms:W3CDTF">2017-07-12T04:24:00Z</dcterms:created>
  <dcterms:modified xsi:type="dcterms:W3CDTF">2017-07-12T04:32:00Z</dcterms:modified>
</cp:coreProperties>
</file>